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B6872" w14:textId="77777777" w:rsidR="006D68CF" w:rsidRPr="005E44CA" w:rsidRDefault="00E7541D" w:rsidP="000B15F0">
      <w:pPr>
        <w:ind w:left="-284" w:right="-150"/>
        <w:jc w:val="both"/>
        <w:rPr>
          <w:rFonts w:cs="Times New Roman"/>
          <w:i/>
          <w:iCs/>
        </w:rPr>
      </w:pPr>
      <w:r>
        <w:rPr>
          <w:rFonts w:cs="Times New Roman"/>
          <w:i/>
          <w:iCs/>
        </w:rPr>
        <w:t>Press release no. 25/24</w:t>
      </w:r>
    </w:p>
    <w:p w14:paraId="73E2A7D1" w14:textId="77777777" w:rsidR="006D68CF" w:rsidRPr="005E44CA" w:rsidRDefault="006D68CF" w:rsidP="000B15F0">
      <w:pPr>
        <w:ind w:left="-284" w:right="-150"/>
        <w:jc w:val="both"/>
        <w:rPr>
          <w:rFonts w:cs="Times New Roman"/>
          <w:i/>
          <w:iCs/>
          <w:sz w:val="10"/>
          <w:szCs w:val="10"/>
        </w:rPr>
      </w:pPr>
    </w:p>
    <w:p w14:paraId="75F7366E" w14:textId="0069435A" w:rsidR="006D68CF" w:rsidRPr="005E44CA" w:rsidRDefault="00E7541D" w:rsidP="000B15F0">
      <w:pPr>
        <w:ind w:left="-284" w:right="-150"/>
        <w:jc w:val="both"/>
        <w:rPr>
          <w:b/>
          <w:bCs/>
          <w:sz w:val="28"/>
          <w:szCs w:val="28"/>
        </w:rPr>
      </w:pPr>
      <w:r>
        <w:rPr>
          <w:rFonts w:eastAsia="Times New Roman" w:cs="Times New Roman"/>
          <w:b/>
          <w:bCs/>
          <w:sz w:val="28"/>
          <w:szCs w:val="28"/>
        </w:rPr>
        <w:t xml:space="preserve">Agricultural machinery: </w:t>
      </w:r>
      <w:r w:rsidR="005E44CA">
        <w:rPr>
          <w:rFonts w:eastAsia="Times New Roman" w:cs="Times New Roman"/>
          <w:b/>
          <w:bCs/>
          <w:sz w:val="28"/>
          <w:szCs w:val="28"/>
        </w:rPr>
        <w:t>Emerging</w:t>
      </w:r>
      <w:r>
        <w:rPr>
          <w:rFonts w:eastAsia="Times New Roman" w:cs="Times New Roman"/>
          <w:b/>
          <w:bCs/>
          <w:sz w:val="28"/>
          <w:szCs w:val="28"/>
        </w:rPr>
        <w:t xml:space="preserve"> markets in Southeast Asia and Africa</w:t>
      </w:r>
    </w:p>
    <w:p w14:paraId="27F00E1A" w14:textId="77777777" w:rsidR="006D68CF" w:rsidRPr="005E44CA" w:rsidRDefault="006D68CF" w:rsidP="000B15F0">
      <w:pPr>
        <w:ind w:left="-284" w:right="-150"/>
        <w:jc w:val="both"/>
        <w:rPr>
          <w:rFonts w:cs="Times New Roman"/>
          <w:b/>
          <w:bCs/>
          <w:sz w:val="10"/>
          <w:szCs w:val="10"/>
        </w:rPr>
      </w:pPr>
    </w:p>
    <w:p w14:paraId="3F59C3E7" w14:textId="77777777" w:rsidR="006D68CF" w:rsidRPr="005E44CA" w:rsidRDefault="00E7541D" w:rsidP="000B15F0">
      <w:pPr>
        <w:ind w:left="-284" w:right="-150"/>
        <w:jc w:val="both"/>
        <w:rPr>
          <w:b/>
          <w:bCs/>
          <w:i/>
          <w:iCs/>
        </w:rPr>
      </w:pPr>
      <w:r>
        <w:rPr>
          <w:rFonts w:eastAsia="Times New Roman" w:cs="Times New Roman"/>
          <w:b/>
          <w:bCs/>
          <w:i/>
          <w:iCs/>
        </w:rPr>
        <w:t>In the coming years, the geography of the markets will still see Europe and North America in the foreground, yet an increasing role will be played by countries such as Indonesia, Vietnam, the Philippines and Thailand, which are already recording growth in imports of specific machinery. Population growth - the source of this growing demand for agricultural technologies - will also be decisive in Africa, starting with Nigeria, Ethiopia and the Democratic Republic of Congo.</w:t>
      </w:r>
    </w:p>
    <w:p w14:paraId="71BD4131" w14:textId="77777777" w:rsidR="006D68CF" w:rsidRPr="005E44CA" w:rsidRDefault="006D68CF" w:rsidP="000B15F0">
      <w:pPr>
        <w:ind w:left="-284" w:right="-150"/>
        <w:jc w:val="both"/>
        <w:rPr>
          <w:rFonts w:cs="Times New Roman"/>
          <w:b/>
          <w:bCs/>
          <w:i/>
          <w:iCs/>
          <w:sz w:val="10"/>
          <w:szCs w:val="10"/>
        </w:rPr>
      </w:pPr>
    </w:p>
    <w:p w14:paraId="047AF18F" w14:textId="77777777" w:rsidR="006D68CF" w:rsidRPr="005E44CA" w:rsidRDefault="00E7541D" w:rsidP="000B15F0">
      <w:pPr>
        <w:ind w:left="-284" w:right="-150"/>
        <w:jc w:val="both"/>
        <w:rPr>
          <w:rFonts w:cs="Times New Roman"/>
          <w:sz w:val="23"/>
          <w:szCs w:val="23"/>
        </w:rPr>
      </w:pPr>
      <w:r>
        <w:rPr>
          <w:rFonts w:eastAsia="Times New Roman" w:cs="Times New Roman"/>
          <w:sz w:val="23"/>
          <w:szCs w:val="23"/>
        </w:rPr>
        <w:t>The agricultural machinery sector is expected to grow significantly in the coming years, but the geography of the markets will change. The major markets in Europe and North America will maintain a high level of investment to ensure high quality standards, and the two Asian giants India and China will tend to stabilize mechanization on the large quantities achieved in recent years, but the emerging markets will be those of Southeast Asia and Africa. This was the scenario described this afternoon in Bologna at the introductory conference of EIMA International, the international exhibition of agricultural machinery, being staged at the city's exhibition center from tomorrow, November 6th until Sunday, November 10th.</w:t>
      </w:r>
    </w:p>
    <w:p w14:paraId="7B91BF0E" w14:textId="77777777" w:rsidR="006D68CF" w:rsidRPr="005E44CA" w:rsidRDefault="00E7541D" w:rsidP="000B15F0">
      <w:pPr>
        <w:ind w:left="-284" w:right="-150"/>
        <w:jc w:val="both"/>
        <w:rPr>
          <w:rFonts w:cs="Times New Roman"/>
          <w:sz w:val="23"/>
          <w:szCs w:val="23"/>
        </w:rPr>
      </w:pPr>
      <w:r>
        <w:rPr>
          <w:rFonts w:eastAsia="Times New Roman" w:cs="Times New Roman"/>
          <w:sz w:val="23"/>
          <w:szCs w:val="23"/>
        </w:rPr>
        <w:t>The demand for agricultural machinery is destined to grow significantly - as was explained during the co</w:t>
      </w:r>
      <w:r w:rsidR="005E44CA">
        <w:rPr>
          <w:rFonts w:eastAsia="Times New Roman" w:cs="Times New Roman"/>
          <w:sz w:val="23"/>
          <w:szCs w:val="23"/>
        </w:rPr>
        <w:t>nference by the President of Fed</w:t>
      </w:r>
      <w:r>
        <w:rPr>
          <w:rFonts w:eastAsia="Times New Roman" w:cs="Times New Roman"/>
          <w:sz w:val="23"/>
          <w:szCs w:val="23"/>
        </w:rPr>
        <w:t xml:space="preserve">erUnacoma, Mariateresa Maschio - in those regions of the world where there is a lot of agricultural development due to population growth, and thus much greater technological equipment is needed than those currently used.  </w:t>
      </w:r>
    </w:p>
    <w:p w14:paraId="215B8090" w14:textId="77777777" w:rsidR="006D68CF" w:rsidRPr="005E44CA" w:rsidRDefault="00E7541D" w:rsidP="000B15F0">
      <w:pPr>
        <w:ind w:left="-284" w:right="-150"/>
        <w:jc w:val="both"/>
        <w:rPr>
          <w:rFonts w:cs="Times New Roman"/>
          <w:sz w:val="23"/>
          <w:szCs w:val="23"/>
        </w:rPr>
      </w:pPr>
      <w:r>
        <w:rPr>
          <w:rFonts w:eastAsia="Times New Roman" w:cs="Times New Roman"/>
          <w:sz w:val="23"/>
          <w:szCs w:val="23"/>
        </w:rPr>
        <w:t>A key country - as was illustrated at the conference - is Indonesia, which even today has nearly 300 million inhabitants, making it one of the most populous in the world and destined to further increase its demographic weight in the coming years. In Indonesia, imports of agricultural machinery have been growing steadily for the past 15 years, and have gone from EUR 140 million in 2009 to   almost EUR 700 million in 2023 (average growth of 8.6% per year), with a further increase in the next four years 2024-2027 forecast at 6.7% per year.</w:t>
      </w:r>
    </w:p>
    <w:p w14:paraId="4E5FCD2F" w14:textId="77777777" w:rsidR="006D68CF" w:rsidRPr="005E44CA" w:rsidRDefault="00E7541D" w:rsidP="000B15F0">
      <w:pPr>
        <w:ind w:left="-284" w:right="-150"/>
        <w:jc w:val="both"/>
        <w:rPr>
          <w:rFonts w:cs="Times New Roman"/>
          <w:b/>
          <w:bCs/>
          <w:i/>
          <w:iCs/>
          <w:sz w:val="23"/>
          <w:szCs w:val="23"/>
        </w:rPr>
      </w:pPr>
      <w:r>
        <w:rPr>
          <w:rFonts w:eastAsia="Times New Roman" w:cs="Times New Roman"/>
          <w:sz w:val="23"/>
          <w:szCs w:val="23"/>
        </w:rPr>
        <w:t xml:space="preserve">But imports of agricultural machinery are also growing in other populous countries of Southeast Asia: Vietnam (100 million inhabitants) expects imports to increase by 6.2% annually over the next four years; the Philippines (110 million inhabitants) should increase imports by 7.8% over the next four years; while Thailand (71 million inhabitants), after a very slow growth in the last 15 years equal to just 1% average per year, is expected to move to an annual increase of 6.8% in the period 2024-2027. </w:t>
      </w:r>
    </w:p>
    <w:p w14:paraId="4C4F58BE" w14:textId="77777777" w:rsidR="006D68CF" w:rsidRPr="005E44CA" w:rsidRDefault="00E7541D" w:rsidP="000B15F0">
      <w:pPr>
        <w:ind w:left="-284" w:right="-150"/>
        <w:jc w:val="both"/>
        <w:rPr>
          <w:rFonts w:cs="Times New Roman"/>
          <w:sz w:val="23"/>
          <w:szCs w:val="23"/>
        </w:rPr>
      </w:pPr>
      <w:r>
        <w:rPr>
          <w:rFonts w:eastAsia="Times New Roman" w:cs="Times New Roman"/>
          <w:sz w:val="23"/>
          <w:szCs w:val="23"/>
        </w:rPr>
        <w:t>The demographic variable is even more influential on the African continent, if it is true that Sub-Saharan Africa alone will account for 50% of the world's population growth in 2050. On the African continent, Nigeria, which already has 230 million inhabitants and will have over 400 million in 2050 (making it the third most populous country in the world) stands out, followed by Ethiopia and the Democratic Republic of Congo, both well over 100 million inhabitants and destined to see significant growth in the next twenty years, entering the ranks of the 10 most populous countries on the planet.</w:t>
      </w:r>
    </w:p>
    <w:p w14:paraId="1B0C549B" w14:textId="77777777" w:rsidR="006D68CF" w:rsidRPr="005E44CA" w:rsidRDefault="00E7541D" w:rsidP="000B15F0">
      <w:pPr>
        <w:ind w:left="-284" w:right="-150"/>
        <w:jc w:val="both"/>
        <w:rPr>
          <w:rFonts w:cs="Times New Roman"/>
          <w:sz w:val="23"/>
          <w:szCs w:val="23"/>
        </w:rPr>
      </w:pPr>
      <w:r>
        <w:rPr>
          <w:rFonts w:eastAsia="Times New Roman" w:cs="Times New Roman"/>
          <w:sz w:val="23"/>
          <w:szCs w:val="23"/>
        </w:rPr>
        <w:t>In Nigeria, only 46% of cultivable land is currently used - as was stated during the conference - and in the Democratic Republic of Congo a meagre 10% of arable land is currently used for agriculture. Thus, putting new territories into production is a priority for these and other countries on the continent, with an increase in demand for technologies in the immediate future (from now until 2027, the import of agricultural machinery will grow by 7% per year in Ethiopia and 12% in Congo), but even more over the next twenty years.</w:t>
      </w:r>
    </w:p>
    <w:p w14:paraId="43168125" w14:textId="77777777" w:rsidR="006D68CF" w:rsidRPr="005E44CA" w:rsidRDefault="006D68CF" w:rsidP="000B15F0">
      <w:pPr>
        <w:ind w:left="-284" w:right="-150"/>
        <w:jc w:val="both"/>
        <w:rPr>
          <w:sz w:val="23"/>
          <w:szCs w:val="23"/>
        </w:rPr>
      </w:pPr>
    </w:p>
    <w:p w14:paraId="5165432E" w14:textId="77777777" w:rsidR="006D68CF" w:rsidRPr="00FD003F" w:rsidRDefault="00E7541D" w:rsidP="000B15F0">
      <w:pPr>
        <w:ind w:left="-284" w:right="-150"/>
        <w:jc w:val="both"/>
        <w:rPr>
          <w:rFonts w:cs="Times New Roman"/>
          <w:b/>
          <w:bCs/>
          <w:i/>
          <w:iCs/>
          <w:sz w:val="23"/>
          <w:szCs w:val="23"/>
        </w:rPr>
      </w:pPr>
      <w:r>
        <w:rPr>
          <w:rFonts w:eastAsia="Times New Roman" w:cs="Times New Roman"/>
          <w:b/>
          <w:bCs/>
          <w:i/>
          <w:iCs/>
          <w:sz w:val="23"/>
          <w:szCs w:val="23"/>
        </w:rPr>
        <w:t>Bologna, November 5, 2024</w:t>
      </w:r>
    </w:p>
    <w:p w14:paraId="34CF1447" w14:textId="77777777" w:rsidR="006D68CF" w:rsidRPr="00071320" w:rsidRDefault="006D68CF" w:rsidP="006D68CF">
      <w:pPr>
        <w:ind w:left="-284"/>
        <w:jc w:val="both"/>
        <w:rPr>
          <w:b/>
          <w:bCs/>
        </w:rPr>
      </w:pPr>
    </w:p>
    <w:p w14:paraId="0749B619" w14:textId="77777777" w:rsidR="00E95EA3" w:rsidRPr="00E95EA3" w:rsidRDefault="00E95EA3" w:rsidP="006601E7">
      <w:pPr>
        <w:ind w:left="-142"/>
        <w:jc w:val="both"/>
        <w:rPr>
          <w:rFonts w:eastAsia="Calibri" w:cs="Times New Roman"/>
          <w:b/>
          <w:bCs/>
          <w:lang w:val="it-IT" w:eastAsia="en-US"/>
        </w:rPr>
      </w:pPr>
    </w:p>
    <w:sectPr w:rsidR="00E95EA3" w:rsidRPr="00E95EA3" w:rsidSect="00D406B4">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01305" w14:textId="77777777" w:rsidR="00890108" w:rsidRDefault="00890108">
      <w:r>
        <w:separator/>
      </w:r>
    </w:p>
  </w:endnote>
  <w:endnote w:type="continuationSeparator" w:id="0">
    <w:p w14:paraId="37333B66" w14:textId="77777777" w:rsidR="00890108" w:rsidRDefault="0089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64533" w14:textId="77777777" w:rsidR="00890108" w:rsidRDefault="00890108">
      <w:r>
        <w:separator/>
      </w:r>
    </w:p>
  </w:footnote>
  <w:footnote w:type="continuationSeparator" w:id="0">
    <w:p w14:paraId="2C7D3E6F" w14:textId="77777777" w:rsidR="00890108" w:rsidRDefault="0089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FAB6D" w14:textId="77777777" w:rsidR="005B51B0" w:rsidRDefault="00E7541D">
    <w:pPr>
      <w:pStyle w:val="Intestazione"/>
      <w:tabs>
        <w:tab w:val="clear" w:pos="9638"/>
        <w:tab w:val="right" w:pos="7485"/>
      </w:tabs>
    </w:pPr>
    <w:r>
      <w:rPr>
        <w:noProof/>
        <w:lang w:eastAsia="en-US"/>
      </w:rPr>
      <mc:AlternateContent>
        <mc:Choice Requires="wps">
          <w:drawing>
            <wp:anchor distT="152400" distB="152400" distL="152400" distR="152400" simplePos="0" relativeHeight="251658240" behindDoc="1" locked="0" layoutInCell="1" allowOverlap="1" wp14:anchorId="20C2744E" wp14:editId="5EF4A87B">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64D9CCF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" stroked="f">
              <w10:wrap anchorx="page" anchory="page"/>
            </v:roundrect>
          </w:pict>
        </mc:Fallback>
      </mc:AlternateContent>
    </w:r>
    <w:r>
      <w:rPr>
        <w:noProof/>
        <w:lang w:eastAsia="en-US"/>
      </w:rPr>
      <w:drawing>
        <wp:anchor distT="152400" distB="152400" distL="152400" distR="152400" simplePos="0" relativeHeight="251660288" behindDoc="1" locked="0" layoutInCell="1" allowOverlap="1" wp14:anchorId="6AF04FD9" wp14:editId="20341785">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467494711"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eastAsia="en-US"/>
      </w:rPr>
      <mc:AlternateContent>
        <mc:Choice Requires="wps">
          <w:drawing>
            <wp:anchor distT="152400" distB="152400" distL="152400" distR="152400" simplePos="0" relativeHeight="251661312" behindDoc="1" locked="0" layoutInCell="1" allowOverlap="1" wp14:anchorId="0976FB26" wp14:editId="348D8C44">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354ACDAB" w14:textId="77777777" w:rsidR="005B51B0" w:rsidRDefault="00E7541D">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5E44CA">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w14:anchorId="0976FB26" id="officeArt object" o:spid="_x0000_s1026" style="position:absolute;margin-left:549.75pt;margin-top:400.9pt;width:45.25pt;height:25.95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" stroked="f">
              <v:textbox inset="3.6pt,,3.6pt">
                <w:txbxContent>
                  <w:p w14:paraId="354ACDAB" w14:textId="77777777" w:rsidR="005B51B0" w:rsidRDefault="00E7541D">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5E44CA">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33E8BB92">
      <w:start w:val="1"/>
      <w:numFmt w:val="bullet"/>
      <w:lvlText w:val=""/>
      <w:lvlJc w:val="left"/>
      <w:pPr>
        <w:ind w:left="720" w:hanging="360"/>
      </w:pPr>
      <w:rPr>
        <w:rFonts w:ascii="Symbol" w:hAnsi="Symbol" w:hint="default"/>
      </w:rPr>
    </w:lvl>
    <w:lvl w:ilvl="1" w:tplc="57D63DE6">
      <w:start w:val="1"/>
      <w:numFmt w:val="bullet"/>
      <w:lvlText w:val="o"/>
      <w:lvlJc w:val="left"/>
      <w:pPr>
        <w:ind w:left="1440" w:hanging="360"/>
      </w:pPr>
      <w:rPr>
        <w:rFonts w:ascii="Courier New" w:hAnsi="Courier New" w:cs="Courier New" w:hint="default"/>
      </w:rPr>
    </w:lvl>
    <w:lvl w:ilvl="2" w:tplc="0344A4D8">
      <w:start w:val="1"/>
      <w:numFmt w:val="bullet"/>
      <w:lvlText w:val=""/>
      <w:lvlJc w:val="left"/>
      <w:pPr>
        <w:ind w:left="2160" w:hanging="360"/>
      </w:pPr>
      <w:rPr>
        <w:rFonts w:ascii="Wingdings" w:hAnsi="Wingdings" w:hint="default"/>
      </w:rPr>
    </w:lvl>
    <w:lvl w:ilvl="3" w:tplc="660C3B22">
      <w:start w:val="1"/>
      <w:numFmt w:val="bullet"/>
      <w:lvlText w:val=""/>
      <w:lvlJc w:val="left"/>
      <w:pPr>
        <w:ind w:left="2880" w:hanging="360"/>
      </w:pPr>
      <w:rPr>
        <w:rFonts w:ascii="Symbol" w:hAnsi="Symbol" w:hint="default"/>
      </w:rPr>
    </w:lvl>
    <w:lvl w:ilvl="4" w:tplc="111EE93C">
      <w:start w:val="1"/>
      <w:numFmt w:val="bullet"/>
      <w:lvlText w:val="o"/>
      <w:lvlJc w:val="left"/>
      <w:pPr>
        <w:ind w:left="3600" w:hanging="360"/>
      </w:pPr>
      <w:rPr>
        <w:rFonts w:ascii="Courier New" w:hAnsi="Courier New" w:cs="Courier New" w:hint="default"/>
      </w:rPr>
    </w:lvl>
    <w:lvl w:ilvl="5" w:tplc="3072FE62">
      <w:start w:val="1"/>
      <w:numFmt w:val="bullet"/>
      <w:lvlText w:val=""/>
      <w:lvlJc w:val="left"/>
      <w:pPr>
        <w:ind w:left="4320" w:hanging="360"/>
      </w:pPr>
      <w:rPr>
        <w:rFonts w:ascii="Wingdings" w:hAnsi="Wingdings" w:hint="default"/>
      </w:rPr>
    </w:lvl>
    <w:lvl w:ilvl="6" w:tplc="B078618A">
      <w:start w:val="1"/>
      <w:numFmt w:val="bullet"/>
      <w:lvlText w:val=""/>
      <w:lvlJc w:val="left"/>
      <w:pPr>
        <w:ind w:left="5040" w:hanging="360"/>
      </w:pPr>
      <w:rPr>
        <w:rFonts w:ascii="Symbol" w:hAnsi="Symbol" w:hint="default"/>
      </w:rPr>
    </w:lvl>
    <w:lvl w:ilvl="7" w:tplc="80303F3A">
      <w:start w:val="1"/>
      <w:numFmt w:val="bullet"/>
      <w:lvlText w:val="o"/>
      <w:lvlJc w:val="left"/>
      <w:pPr>
        <w:ind w:left="5760" w:hanging="360"/>
      </w:pPr>
      <w:rPr>
        <w:rFonts w:ascii="Courier New" w:hAnsi="Courier New" w:cs="Courier New" w:hint="default"/>
      </w:rPr>
    </w:lvl>
    <w:lvl w:ilvl="8" w:tplc="1848E13E">
      <w:start w:val="1"/>
      <w:numFmt w:val="bullet"/>
      <w:lvlText w:val=""/>
      <w:lvlJc w:val="left"/>
      <w:pPr>
        <w:ind w:left="6480" w:hanging="360"/>
      </w:pPr>
      <w:rPr>
        <w:rFonts w:ascii="Wingdings" w:hAnsi="Wingdings" w:hint="default"/>
      </w:rPr>
    </w:lvl>
  </w:abstractNum>
  <w:num w:numId="1" w16cid:durableId="6515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1320"/>
    <w:rsid w:val="00076A4E"/>
    <w:rsid w:val="00077E0A"/>
    <w:rsid w:val="00082E65"/>
    <w:rsid w:val="00095345"/>
    <w:rsid w:val="000953A3"/>
    <w:rsid w:val="00097B12"/>
    <w:rsid w:val="000A3BA0"/>
    <w:rsid w:val="000B15F0"/>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34379"/>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31CA3"/>
    <w:rsid w:val="005363D1"/>
    <w:rsid w:val="00541D2D"/>
    <w:rsid w:val="00560CC7"/>
    <w:rsid w:val="005646BB"/>
    <w:rsid w:val="005760BB"/>
    <w:rsid w:val="00577457"/>
    <w:rsid w:val="00581D2A"/>
    <w:rsid w:val="00592561"/>
    <w:rsid w:val="005A5F9E"/>
    <w:rsid w:val="005B2322"/>
    <w:rsid w:val="005B51B0"/>
    <w:rsid w:val="005B5F74"/>
    <w:rsid w:val="005B649F"/>
    <w:rsid w:val="005C1824"/>
    <w:rsid w:val="005C4F52"/>
    <w:rsid w:val="005E44CA"/>
    <w:rsid w:val="005E71D7"/>
    <w:rsid w:val="006063EA"/>
    <w:rsid w:val="006121B5"/>
    <w:rsid w:val="00622248"/>
    <w:rsid w:val="0062254E"/>
    <w:rsid w:val="006235D9"/>
    <w:rsid w:val="00626EBC"/>
    <w:rsid w:val="00640652"/>
    <w:rsid w:val="00643058"/>
    <w:rsid w:val="006601E7"/>
    <w:rsid w:val="00661945"/>
    <w:rsid w:val="006729A9"/>
    <w:rsid w:val="00677CC8"/>
    <w:rsid w:val="006810E8"/>
    <w:rsid w:val="00682974"/>
    <w:rsid w:val="00687D18"/>
    <w:rsid w:val="00690F03"/>
    <w:rsid w:val="006C0D12"/>
    <w:rsid w:val="006C3036"/>
    <w:rsid w:val="006C3D70"/>
    <w:rsid w:val="006C65AF"/>
    <w:rsid w:val="006D68C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0108"/>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029A4"/>
    <w:rsid w:val="00922337"/>
    <w:rsid w:val="009234B5"/>
    <w:rsid w:val="00924547"/>
    <w:rsid w:val="0093426C"/>
    <w:rsid w:val="0093775C"/>
    <w:rsid w:val="0097010F"/>
    <w:rsid w:val="00970BE4"/>
    <w:rsid w:val="00971E4E"/>
    <w:rsid w:val="009913A8"/>
    <w:rsid w:val="009A1C8E"/>
    <w:rsid w:val="009C0F34"/>
    <w:rsid w:val="009C2022"/>
    <w:rsid w:val="009D0994"/>
    <w:rsid w:val="009F23FD"/>
    <w:rsid w:val="00A00A57"/>
    <w:rsid w:val="00A20F14"/>
    <w:rsid w:val="00A25511"/>
    <w:rsid w:val="00A40562"/>
    <w:rsid w:val="00A4130B"/>
    <w:rsid w:val="00A440F2"/>
    <w:rsid w:val="00A525E3"/>
    <w:rsid w:val="00A55BCB"/>
    <w:rsid w:val="00A56EBF"/>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90224"/>
    <w:rsid w:val="00BA004C"/>
    <w:rsid w:val="00BA1DF9"/>
    <w:rsid w:val="00BC3205"/>
    <w:rsid w:val="00BE2C5C"/>
    <w:rsid w:val="00BE3E13"/>
    <w:rsid w:val="00C01744"/>
    <w:rsid w:val="00C03358"/>
    <w:rsid w:val="00C111DE"/>
    <w:rsid w:val="00C15314"/>
    <w:rsid w:val="00C16E54"/>
    <w:rsid w:val="00C21717"/>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62DA1"/>
    <w:rsid w:val="00D6602B"/>
    <w:rsid w:val="00D722A1"/>
    <w:rsid w:val="00DA5860"/>
    <w:rsid w:val="00DC1CB4"/>
    <w:rsid w:val="00DE3A07"/>
    <w:rsid w:val="00DE4119"/>
    <w:rsid w:val="00DF254C"/>
    <w:rsid w:val="00E018ED"/>
    <w:rsid w:val="00E264AA"/>
    <w:rsid w:val="00E2650D"/>
    <w:rsid w:val="00E273DF"/>
    <w:rsid w:val="00E554B1"/>
    <w:rsid w:val="00E7541D"/>
    <w:rsid w:val="00E7611F"/>
    <w:rsid w:val="00E76A4B"/>
    <w:rsid w:val="00E80F2F"/>
    <w:rsid w:val="00E8404C"/>
    <w:rsid w:val="00E95EA3"/>
    <w:rsid w:val="00EB3652"/>
    <w:rsid w:val="00EC5741"/>
    <w:rsid w:val="00F1367E"/>
    <w:rsid w:val="00F46B54"/>
    <w:rsid w:val="00F50302"/>
    <w:rsid w:val="00F52270"/>
    <w:rsid w:val="00F53575"/>
    <w:rsid w:val="00F7014D"/>
    <w:rsid w:val="00F701F5"/>
    <w:rsid w:val="00F7049E"/>
    <w:rsid w:val="00F7699D"/>
    <w:rsid w:val="00F8241D"/>
    <w:rsid w:val="00F96485"/>
    <w:rsid w:val="00FB6381"/>
    <w:rsid w:val="00FC7596"/>
    <w:rsid w:val="00FD003F"/>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524AC"/>
  <w15:docId w15:val="{C995F907-2C3A-450F-9518-9B86AE16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0">
    <w:name w:val="Table Normal_0"/>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87C8B-048A-48C9-BAE2-FB3F5244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576</Words>
  <Characters>3289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5</cp:revision>
  <cp:lastPrinted>2020-11-02T16:06:00Z</cp:lastPrinted>
  <dcterms:created xsi:type="dcterms:W3CDTF">2024-11-04T16:21:00Z</dcterms:created>
  <dcterms:modified xsi:type="dcterms:W3CDTF">2024-11-05T09:52:00Z</dcterms:modified>
</cp:coreProperties>
</file>